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B8CF" w14:textId="77777777" w:rsidR="00D66F26" w:rsidRPr="009870AD" w:rsidRDefault="00D66F26" w:rsidP="00D66F26">
      <w:pPr>
        <w:jc w:val="center"/>
        <w:rPr>
          <w:b/>
          <w:bCs/>
        </w:rPr>
      </w:pPr>
      <w:r w:rsidRPr="009870AD">
        <w:rPr>
          <w:b/>
          <w:bCs/>
        </w:rPr>
        <w:t>Школьники теперь отчитываются о налогах родителей, а ФНС раздает компаниям новые ИНН?</w:t>
      </w:r>
    </w:p>
    <w:p w14:paraId="35FE8596" w14:textId="77777777" w:rsidR="00D66F26" w:rsidRPr="009870AD" w:rsidRDefault="00D66F26" w:rsidP="00D66F26">
      <w:pPr>
        <w:rPr>
          <w:i/>
          <w:iCs/>
        </w:rPr>
      </w:pPr>
      <w:r w:rsidRPr="009870AD">
        <w:rPr>
          <w:i/>
          <w:iCs/>
        </w:rPr>
        <w:t>Представляем очередную подборку «</w:t>
      </w:r>
      <w:proofErr w:type="spellStart"/>
      <w:r w:rsidRPr="009870AD">
        <w:rPr>
          <w:i/>
          <w:iCs/>
        </w:rPr>
        <w:t>антифейкньюс</w:t>
      </w:r>
      <w:proofErr w:type="spellEnd"/>
      <w:r w:rsidRPr="009870AD">
        <w:rPr>
          <w:i/>
          <w:iCs/>
        </w:rPr>
        <w:t>». Собрали сомнительные новости и выяснили, что происходит на самом деле. Рассказываем, действительно ли мошенники стали красть деньги с помощью чужих фотоснимков, у должников хотят забирать все средства, а ФНС присвоит всем без исключения компаниям новые ИНН.</w:t>
      </w:r>
    </w:p>
    <w:p w14:paraId="0057A1AA" w14:textId="15D4E064" w:rsidR="00D66F26" w:rsidRPr="009870AD" w:rsidRDefault="00D66F26" w:rsidP="00D66F26">
      <w:pPr>
        <w:rPr>
          <w:b/>
          <w:bCs/>
        </w:rPr>
      </w:pPr>
      <w:r w:rsidRPr="00F00DFE">
        <w:rPr>
          <w:b/>
          <w:noProof/>
        </w:rPr>
        <w:drawing>
          <wp:inline distT="0" distB="0" distL="0" distR="0" wp14:anchorId="6CC41716" wp14:editId="1F9AEF23">
            <wp:extent cx="1423670" cy="509270"/>
            <wp:effectExtent l="0" t="0" r="5080" b="5080"/>
            <wp:docPr id="41942024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3670" cy="509270"/>
                    </a:xfrm>
                    <a:prstGeom prst="rect">
                      <a:avLst/>
                    </a:prstGeom>
                    <a:noFill/>
                    <a:ln>
                      <a:noFill/>
                    </a:ln>
                  </pic:spPr>
                </pic:pic>
              </a:graphicData>
            </a:graphic>
          </wp:inline>
        </w:drawing>
      </w:r>
    </w:p>
    <w:p w14:paraId="3CE1A5E3" w14:textId="77777777" w:rsidR="00D66F26" w:rsidRPr="009870AD" w:rsidRDefault="00D66F26" w:rsidP="00D66F26">
      <w:pPr>
        <w:rPr>
          <w:b/>
          <w:bCs/>
        </w:rPr>
      </w:pPr>
      <w:r w:rsidRPr="009870AD">
        <w:rPr>
          <w:b/>
          <w:bCs/>
        </w:rPr>
        <w:t>Фейк 1. Власти ждут от детей сочинение «Как моя семья платит налоги»</w:t>
      </w:r>
    </w:p>
    <w:p w14:paraId="37A5D8F9" w14:textId="77777777" w:rsidR="00D66F26" w:rsidRPr="009870AD" w:rsidRDefault="00D66F26" w:rsidP="00D66F26">
      <w:r w:rsidRPr="009870AD">
        <w:t>В сети появилась информация, что якобы школьников заставляют писать сочинение о том, как и сколько налогов платят их родители, какие доходы и имущество декларируют и как в целом у них обстоят дела с налоговой дисциплиной. В подтверждение авторы публикации демонстрируют скриншоты приказов министерств образования Смоленской, Свердловской, Волгоградской, Ивановской областей и Республики Северная Осетия — Алания.</w:t>
      </w:r>
    </w:p>
    <w:p w14:paraId="708192B5" w14:textId="77777777" w:rsidR="00D66F26" w:rsidRPr="009870AD" w:rsidRDefault="00D66F26" w:rsidP="00D66F26">
      <w:r w:rsidRPr="009870AD">
        <w:rPr>
          <w:b/>
          <w:bCs/>
        </w:rPr>
        <w:t>Как на самом деле.</w:t>
      </w:r>
      <w:r w:rsidRPr="009870AD">
        <w:t> Во всех регионах уже опровергли информацию о проведении конкурса: местные министерства приказов о мероприятии не издавали. Скриншоты — подделка: в липовых приказах перепутаны даты, нет четкой информации и положения о конкурсе. При этом в некоторых городах и районах местные власти действительно проводят различные «налоговые» мероприятия, но это не массовая акция. Например, в Бижбулякском районе Башкортостана проводят творческий конкурс по налоговой грамотности на тему «Моя семья платит налоги вовремя». В отличие от фейка у этого конкурса есть положение и все официальные документы (bizhbulyakroo.bashkortostan.ru, 28 октября).</w:t>
      </w:r>
    </w:p>
    <w:p w14:paraId="35E62A2F" w14:textId="48AA6125" w:rsidR="00D66F26" w:rsidRPr="009870AD" w:rsidRDefault="00D66F26" w:rsidP="00D66F26">
      <w:pPr>
        <w:rPr>
          <w:b/>
          <w:bCs/>
        </w:rPr>
      </w:pPr>
      <w:r w:rsidRPr="00F00DFE">
        <w:rPr>
          <w:b/>
          <w:noProof/>
        </w:rPr>
        <w:drawing>
          <wp:inline distT="0" distB="0" distL="0" distR="0" wp14:anchorId="39B69789" wp14:editId="2C79687D">
            <wp:extent cx="1423670" cy="509270"/>
            <wp:effectExtent l="0" t="0" r="5080" b="5080"/>
            <wp:docPr id="1157622590"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3670" cy="509270"/>
                    </a:xfrm>
                    <a:prstGeom prst="rect">
                      <a:avLst/>
                    </a:prstGeom>
                    <a:noFill/>
                    <a:ln>
                      <a:noFill/>
                    </a:ln>
                  </pic:spPr>
                </pic:pic>
              </a:graphicData>
            </a:graphic>
          </wp:inline>
        </w:drawing>
      </w:r>
    </w:p>
    <w:p w14:paraId="59ED0D70" w14:textId="77777777" w:rsidR="00D66F26" w:rsidRPr="009870AD" w:rsidRDefault="00D66F26" w:rsidP="00D66F26">
      <w:pPr>
        <w:rPr>
          <w:b/>
          <w:bCs/>
        </w:rPr>
      </w:pPr>
      <w:r w:rsidRPr="009870AD">
        <w:rPr>
          <w:b/>
          <w:bCs/>
        </w:rPr>
        <w:t>Фейк 2. Мошенники расплачиваются чужими картами с помощью фотографий</w:t>
      </w:r>
    </w:p>
    <w:p w14:paraId="76295CA6" w14:textId="77777777" w:rsidR="00D66F26" w:rsidRPr="009870AD" w:rsidRDefault="00D66F26" w:rsidP="00D66F26">
      <w:r w:rsidRPr="009870AD">
        <w:t>Пользоваться банковским сервисом «Оплата улыбкой» стало опасно, предупреждают неизвестные в соцсетях и мессенджерах. В телеграм-каналах завирусилось видео, в котором человек расплатился чужой картой, приложив к терминалу фотоснимок с улыбающимся владельцем счета. Из этого авторы предостережений сделали вывод, что при наличии «радостного фото» мошенники могут добраться до средств всех пользователей нового сервиса.</w:t>
      </w:r>
    </w:p>
    <w:p w14:paraId="2BD439C7" w14:textId="77777777" w:rsidR="00D66F26" w:rsidRPr="009870AD" w:rsidRDefault="00D66F26" w:rsidP="00D66F26">
      <w:r w:rsidRPr="009870AD">
        <w:rPr>
          <w:b/>
          <w:bCs/>
        </w:rPr>
        <w:t>Как на самом деле.</w:t>
      </w:r>
      <w:r w:rsidRPr="009870AD">
        <w:t xml:space="preserve"> Оказалось, что видео было шуткой. В мессенджерах начали распространять урезанный вариант ролика. В полной версии авторы объясняли, что оплата с помощью фото с телефона не проходит. Терминалу действительно можно </w:t>
      </w:r>
      <w:r w:rsidRPr="009870AD">
        <w:lastRenderedPageBreak/>
        <w:t xml:space="preserve">показать снимок </w:t>
      </w:r>
      <w:proofErr w:type="gramStart"/>
      <w:r w:rsidRPr="009870AD">
        <w:t>человека с улыбкой</w:t>
      </w:r>
      <w:proofErr w:type="gramEnd"/>
      <w:r w:rsidRPr="009870AD">
        <w:t xml:space="preserve"> и он начнет обрабатывать запрос, но операцию все равно не проведет. Аппарат выдаст ошибку с надписью «Мы вас не узнали».</w:t>
      </w:r>
    </w:p>
    <w:p w14:paraId="07B9494F" w14:textId="4197DF6E" w:rsidR="00D66F26" w:rsidRPr="009870AD" w:rsidRDefault="00D66F26" w:rsidP="00D66F26">
      <w:pPr>
        <w:rPr>
          <w:b/>
          <w:bCs/>
        </w:rPr>
      </w:pPr>
      <w:r w:rsidRPr="00F00DFE">
        <w:rPr>
          <w:b/>
          <w:noProof/>
        </w:rPr>
        <w:drawing>
          <wp:inline distT="0" distB="0" distL="0" distR="0" wp14:anchorId="2CE03604" wp14:editId="15C4FFD9">
            <wp:extent cx="1423670" cy="509270"/>
            <wp:effectExtent l="0" t="0" r="5080" b="5080"/>
            <wp:docPr id="119675111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3670" cy="509270"/>
                    </a:xfrm>
                    <a:prstGeom prst="rect">
                      <a:avLst/>
                    </a:prstGeom>
                    <a:noFill/>
                    <a:ln>
                      <a:noFill/>
                    </a:ln>
                  </pic:spPr>
                </pic:pic>
              </a:graphicData>
            </a:graphic>
          </wp:inline>
        </w:drawing>
      </w:r>
    </w:p>
    <w:p w14:paraId="6A3E1026" w14:textId="77777777" w:rsidR="00D66F26" w:rsidRPr="009870AD" w:rsidRDefault="00D66F26" w:rsidP="00D66F26">
      <w:pPr>
        <w:rPr>
          <w:b/>
          <w:bCs/>
        </w:rPr>
      </w:pPr>
      <w:r w:rsidRPr="009870AD">
        <w:rPr>
          <w:b/>
          <w:bCs/>
        </w:rPr>
        <w:t>Фейк 3. У должников будут забирать всю зарплату и пенсию</w:t>
      </w:r>
    </w:p>
    <w:p w14:paraId="69FE6156" w14:textId="77777777" w:rsidR="00D66F26" w:rsidRPr="009870AD" w:rsidRDefault="00D66F26" w:rsidP="00D66F26">
      <w:r w:rsidRPr="009870AD">
        <w:t>Чтобы погасить недоимку, у должников будут забирать всю зарплату и пенсию без ограничений — публикация с шокирующей новостью появилась практически во всех соцсетях. Авторы постов сообщают, что должникам не оставят даже прожиточного минимума: если человек не доплатил в бюджет, приставы будут забирать все до копейки, пока не перекроют долг.</w:t>
      </w:r>
    </w:p>
    <w:p w14:paraId="5EE910C8" w14:textId="77777777" w:rsidR="00D66F26" w:rsidRPr="009870AD" w:rsidRDefault="00D66F26" w:rsidP="00D66F26">
      <w:r w:rsidRPr="009870AD">
        <w:t>Новые правила для должников, по мнению авторов публикаций, вводят в связи с отзывом </w:t>
      </w:r>
      <w:hyperlink r:id="rId5" w:tgtFrame="_blank" w:history="1">
        <w:r w:rsidRPr="009870AD">
          <w:rPr>
            <w:rStyle w:val="ac"/>
          </w:rPr>
          <w:t>законопроекта № 171683-8</w:t>
        </w:r>
      </w:hyperlink>
      <w:r w:rsidRPr="009870AD">
        <w:t>, который сохранял у должников прожиточный минимум после взысканий по исполнительным листам. Якобы теперь, раз инициативу не поддержали, копить долги станет еще опаснее — можно остаться без копейки.</w:t>
      </w:r>
    </w:p>
    <w:p w14:paraId="2E35C21E" w14:textId="77777777" w:rsidR="00D66F26" w:rsidRPr="009870AD" w:rsidRDefault="00D66F26" w:rsidP="00D66F26">
      <w:r w:rsidRPr="009870AD">
        <w:rPr>
          <w:b/>
          <w:bCs/>
        </w:rPr>
        <w:t>Как на самом деле.</w:t>
      </w:r>
      <w:r w:rsidRPr="009870AD">
        <w:t> Законопроект действительно отозвали и направили на доработку. Но это не значит, что должников оставят без денег. Проект может снова вернуться на рассмотрение после того, как его скорректируют. Но даже если авторы инициативы оставят попытки продвинуть проект, забирать все деньги у должников никто не будет. По закону удерживать можно не более 50 или 70 процентов доходов в зависимости от ситуации (</w:t>
      </w:r>
      <w:hyperlink r:id="rId6" w:anchor="ZAP1RNM39B" w:tgtFrame="_blank" w:history="1">
        <w:r w:rsidRPr="009870AD">
          <w:rPr>
            <w:rStyle w:val="ac"/>
          </w:rPr>
          <w:t>ст. 98 Федерального закона от 02.10.2007 № 229-ФЗ</w:t>
        </w:r>
      </w:hyperlink>
      <w:r w:rsidRPr="009870AD">
        <w:t>).</w:t>
      </w:r>
    </w:p>
    <w:p w14:paraId="5F64BD3B" w14:textId="13872B25" w:rsidR="00D66F26" w:rsidRPr="009870AD" w:rsidRDefault="00D66F26" w:rsidP="00D66F26">
      <w:pPr>
        <w:rPr>
          <w:b/>
          <w:bCs/>
        </w:rPr>
      </w:pPr>
      <w:r w:rsidRPr="00F00DFE">
        <w:rPr>
          <w:b/>
          <w:noProof/>
        </w:rPr>
        <w:drawing>
          <wp:inline distT="0" distB="0" distL="0" distR="0" wp14:anchorId="308509BA" wp14:editId="1E4D38C2">
            <wp:extent cx="1423670" cy="509270"/>
            <wp:effectExtent l="0" t="0" r="5080" b="5080"/>
            <wp:docPr id="1530447720"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3670" cy="509270"/>
                    </a:xfrm>
                    <a:prstGeom prst="rect">
                      <a:avLst/>
                    </a:prstGeom>
                    <a:noFill/>
                    <a:ln>
                      <a:noFill/>
                    </a:ln>
                  </pic:spPr>
                </pic:pic>
              </a:graphicData>
            </a:graphic>
          </wp:inline>
        </w:drawing>
      </w:r>
    </w:p>
    <w:p w14:paraId="36BC7373" w14:textId="77777777" w:rsidR="00D66F26" w:rsidRPr="009870AD" w:rsidRDefault="00D66F26" w:rsidP="00D66F26">
      <w:pPr>
        <w:rPr>
          <w:b/>
          <w:bCs/>
        </w:rPr>
      </w:pPr>
      <w:r w:rsidRPr="009870AD">
        <w:rPr>
          <w:b/>
          <w:bCs/>
        </w:rPr>
        <w:t>Фейк 4. Школьники будут учиться в школе 12 лет</w:t>
      </w:r>
    </w:p>
    <w:p w14:paraId="76A5D5A5" w14:textId="77777777" w:rsidR="00D66F26" w:rsidRPr="009870AD" w:rsidRDefault="00D66F26" w:rsidP="00D66F26">
      <w:r w:rsidRPr="009870AD">
        <w:t>Для всех категорий детей срок обучения в школе собираются продлить на год, пишут в соцсетях. В публикациях говорится, что учащимся предоставят дополнительное время на закрепление материала школьной программы.</w:t>
      </w:r>
    </w:p>
    <w:p w14:paraId="53021719" w14:textId="77777777" w:rsidR="00D66F26" w:rsidRPr="009870AD" w:rsidRDefault="00D66F26" w:rsidP="00D66F26">
      <w:r w:rsidRPr="009870AD">
        <w:rPr>
          <w:b/>
          <w:bCs/>
        </w:rPr>
        <w:t>Как на самом деле.</w:t>
      </w:r>
      <w:r w:rsidRPr="009870AD">
        <w:t> Срок обучения в школах все еще составляет 11 лет, и менять его в ближайшее время не планируют. Минпросвещения отметило, что действующая система образования сбалансирована и корректировок не требует. Ранее замсекретаря Общественной палаты Владислав Гриб действительно предложил начинать учебу с шести лет, то есть на год раньше, чем сейчас. В результате срок обучения составлял бы 12 лет вместо привычных 11. Но Минпросвещения не поддержало инициативу.</w:t>
      </w:r>
    </w:p>
    <w:p w14:paraId="123CF32D" w14:textId="2C14116D" w:rsidR="00D66F26" w:rsidRPr="009870AD" w:rsidRDefault="00D66F26" w:rsidP="00D66F26">
      <w:pPr>
        <w:rPr>
          <w:b/>
          <w:bCs/>
        </w:rPr>
      </w:pPr>
      <w:r w:rsidRPr="00F00DFE">
        <w:rPr>
          <w:b/>
          <w:noProof/>
        </w:rPr>
        <w:drawing>
          <wp:inline distT="0" distB="0" distL="0" distR="0" wp14:anchorId="7AD2E8FA" wp14:editId="72D337E4">
            <wp:extent cx="1423670" cy="509270"/>
            <wp:effectExtent l="0" t="0" r="5080" b="5080"/>
            <wp:docPr id="45205651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3670" cy="509270"/>
                    </a:xfrm>
                    <a:prstGeom prst="rect">
                      <a:avLst/>
                    </a:prstGeom>
                    <a:noFill/>
                    <a:ln>
                      <a:noFill/>
                    </a:ln>
                  </pic:spPr>
                </pic:pic>
              </a:graphicData>
            </a:graphic>
          </wp:inline>
        </w:drawing>
      </w:r>
    </w:p>
    <w:p w14:paraId="4749B7B3" w14:textId="77777777" w:rsidR="00D66F26" w:rsidRPr="009870AD" w:rsidRDefault="00D66F26" w:rsidP="00D66F26">
      <w:pPr>
        <w:rPr>
          <w:b/>
          <w:bCs/>
        </w:rPr>
      </w:pPr>
      <w:r w:rsidRPr="009870AD">
        <w:rPr>
          <w:b/>
          <w:bCs/>
        </w:rPr>
        <w:t>Фейк 5. Налоговики «склеят» ИНН и КПП компаний</w:t>
      </w:r>
    </w:p>
    <w:p w14:paraId="72192A43" w14:textId="77777777" w:rsidR="00D66F26" w:rsidRPr="009870AD" w:rsidRDefault="00D66F26" w:rsidP="00D66F26">
      <w:r w:rsidRPr="009870AD">
        <w:lastRenderedPageBreak/>
        <w:t>С 1 января 2026 года ИНН сделают 20-значным, пишут в телеграм-каналах. ФНС якобы решила включить КПП в состав ИНН, в результате чего номер компании увеличится. Авторы ссылаются на новый приказ налоговой службы от 26.06.2025 № ЕД-7-14/559. Сообщают, что он начнет действовать со следующего года, а приказ ФНС от 29.06.2012 № MMB-7-6/435 утратит силу.</w:t>
      </w:r>
    </w:p>
    <w:p w14:paraId="4A773D2E" w14:textId="77777777" w:rsidR="00D66F26" w:rsidRPr="009870AD" w:rsidRDefault="00D66F26" w:rsidP="00D66F26">
      <w:r w:rsidRPr="009870AD">
        <w:rPr>
          <w:b/>
          <w:bCs/>
        </w:rPr>
        <w:t>Как на самом деле.</w:t>
      </w:r>
      <w:r w:rsidRPr="009870AD">
        <w:t> ФНС действительно изменила структуру ИНН приказом № ЕД-7-14/559. Но поправки коснулись только третьего и четвертого знаков. Вместо кода инспекции будет индекс, который определит ФНС. Первыми двумя цифрами останется код региона и налоговой, с пятой по девятую — порядковый номер в ЕГРН, а последняя — контрольное число.</w:t>
      </w:r>
    </w:p>
    <w:p w14:paraId="5B72FCD4" w14:textId="77777777" w:rsidR="00D66F26" w:rsidRPr="009870AD" w:rsidRDefault="00D66F26" w:rsidP="00D66F26">
      <w:r w:rsidRPr="009870AD">
        <w:t>ФНС отметила, что изменений в бланки не потребуется — во всех документах писать ИНН и КПП нужно в обычном формате. Увеличения ИНН до 20 знаков не будет, а ранее выданные номера продолжат действовать.</w:t>
      </w:r>
    </w:p>
    <w:p w14:paraId="655A392A" w14:textId="77777777" w:rsidR="00D66F26" w:rsidRPr="009870AD" w:rsidRDefault="00D66F26" w:rsidP="00D66F26">
      <w:r w:rsidRPr="009870AD">
        <w:rPr>
          <w:i/>
          <w:iCs/>
        </w:rPr>
        <w:t>В рубрике «Стоп фейк» мы рассказываем, какие резонансные новости оказались неправдой. Предлагаем вам присоединиться к сбору и опровержению дезы: присылайте информацию, в реальности которой сомневаетесь, на </w:t>
      </w:r>
      <w:hyperlink r:id="rId7" w:history="1">
        <w:r w:rsidRPr="009870AD">
          <w:rPr>
            <w:rStyle w:val="ac"/>
            <w:i/>
            <w:iCs/>
          </w:rPr>
          <w:t>okuneva@action.group</w:t>
        </w:r>
      </w:hyperlink>
      <w:r w:rsidRPr="009870AD">
        <w:rPr>
          <w:i/>
          <w:iCs/>
        </w:rPr>
        <w:t>. В теме пишите «Стоп фейк».</w:t>
      </w:r>
    </w:p>
    <w:p w14:paraId="514FEC87" w14:textId="77777777" w:rsidR="00D66F26" w:rsidRPr="00D03CBE" w:rsidRDefault="00D66F26" w:rsidP="00D66F26">
      <w:pPr>
        <w:rPr>
          <w:b/>
          <w:bCs/>
          <w:lang w:val="en-US"/>
        </w:rPr>
      </w:pPr>
    </w:p>
    <w:p w14:paraId="0231E2F2" w14:textId="77777777" w:rsidR="00D66F26" w:rsidRPr="00D03CBE" w:rsidRDefault="00D66F26" w:rsidP="00D66F26">
      <w:pPr>
        <w:rPr>
          <w:b/>
          <w:bCs/>
          <w:lang w:val="en-US"/>
        </w:rPr>
      </w:pPr>
    </w:p>
    <w:p w14:paraId="4EDC009B" w14:textId="77777777" w:rsidR="00D66F26" w:rsidRPr="00D03CBE" w:rsidRDefault="00D66F26" w:rsidP="00D66F26">
      <w:pPr>
        <w:jc w:val="right"/>
      </w:pPr>
      <w:r>
        <w:t>Журнал «Главбух» №23, 2025</w:t>
      </w:r>
    </w:p>
    <w:p w14:paraId="691017F8" w14:textId="77777777" w:rsidR="00D66F26" w:rsidRPr="00D03CBE" w:rsidRDefault="00D66F26" w:rsidP="00D66F26">
      <w:pPr>
        <w:rPr>
          <w:b/>
          <w:bCs/>
          <w:lang w:val="en-US"/>
        </w:rPr>
      </w:pPr>
    </w:p>
    <w:p w14:paraId="61BE983E" w14:textId="57E6D46D" w:rsidR="00173540" w:rsidRPr="00D66F26" w:rsidRDefault="00173540" w:rsidP="00D66F26"/>
    <w:sectPr w:rsidR="00173540" w:rsidRPr="00D66F26" w:rsidSect="00D66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0735E2"/>
    <w:rsid w:val="00087B70"/>
    <w:rsid w:val="001063E0"/>
    <w:rsid w:val="00173540"/>
    <w:rsid w:val="001A4AC3"/>
    <w:rsid w:val="004173D8"/>
    <w:rsid w:val="005F22A4"/>
    <w:rsid w:val="00686C03"/>
    <w:rsid w:val="0073202A"/>
    <w:rsid w:val="00763B2E"/>
    <w:rsid w:val="007D19F8"/>
    <w:rsid w:val="008341C0"/>
    <w:rsid w:val="00A43B77"/>
    <w:rsid w:val="00A95C79"/>
    <w:rsid w:val="00AE3A72"/>
    <w:rsid w:val="00BD5436"/>
    <w:rsid w:val="00BF3DB2"/>
    <w:rsid w:val="00CD5338"/>
    <w:rsid w:val="00D66F26"/>
    <w:rsid w:val="00DD6A5F"/>
    <w:rsid w:val="00DF1FA1"/>
    <w:rsid w:val="00EA1B07"/>
    <w:rsid w:val="00EF3844"/>
    <w:rsid w:val="00F92283"/>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kuneva@action.gro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902063102&amp;anchor=ZAP1RNM39B" TargetMode="External"/><Relationship Id="rId5" Type="http://schemas.openxmlformats.org/officeDocument/2006/relationships/hyperlink" Target="https://e.glavbukh.ru/npd-doc?npmid=97&amp;npid=498907"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2025-12-16T07:42:00Z</dcterms:created>
  <dcterms:modified xsi:type="dcterms:W3CDTF">2025-12-16T07:42:00Z</dcterms:modified>
</cp:coreProperties>
</file>